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6CAA729A" w14:textId="77777777"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7C3DD1C4">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77C47E5E" wp14:editId="4425339B">
            <wp:extent cx="4086225" cy="7153275"/>
            <wp:effectExtent l="19050" t="0" r="2857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FB6160" w14:textId="77777777" w:rsidR="00006FBA" w:rsidRDefault="00006FBA"/>
    <w:sectPr w:rsidR="00006FBA" w:rsidSect="00ED3A70">
      <w:pgSz w:w="11906" w:h="16838"/>
      <w:pgMar w:top="1411" w:right="99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90B85"/>
    <w:rsid w:val="00257832"/>
    <w:rsid w:val="002E20D0"/>
    <w:rsid w:val="004A2309"/>
    <w:rsid w:val="004D50A6"/>
    <w:rsid w:val="00507E87"/>
    <w:rsid w:val="00574644"/>
    <w:rsid w:val="006E2559"/>
    <w:rsid w:val="006E7B96"/>
    <w:rsid w:val="006F2C56"/>
    <w:rsid w:val="007F2E09"/>
    <w:rsid w:val="00A1634F"/>
    <w:rsid w:val="00A27810"/>
    <w:rsid w:val="00B6637A"/>
    <w:rsid w:val="00C13C70"/>
    <w:rsid w:val="00DF5BFC"/>
    <w:rsid w:val="00E51331"/>
    <w:rsid w:val="00E76206"/>
    <w:rsid w:val="00ED3A70"/>
    <w:rsid w:val="00F9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Comuna Ceplenița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p>
        <a:p>
          <a:pPr defTabSz="536575"/>
          <a:r>
            <a:rPr lang="ro-RO" sz="1000" b="1">
              <a:solidFill>
                <a:sysClr val="windowText" lastClr="000000">
                  <a:hueOff val="0"/>
                  <a:satOff val="0"/>
                  <a:lumOff val="0"/>
                  <a:alphaOff val="0"/>
                </a:sysClr>
              </a:solidFill>
              <a:latin typeface="Calibri" panose="020F0502020204030204"/>
              <a:ea typeface="+mn-ea"/>
              <a:cs typeface="+mn-cs"/>
            </a:rPr>
            <a:t>6B-încurajarea dezvoltării locale în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8.148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31.10.2019 - 14.10.2020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p>
        <a:p>
          <a:pPr defTabSz="536575"/>
          <a:r>
            <a:rPr lang="ro-RO" sz="1000" b="1">
              <a:solidFill>
                <a:sysClr val="windowText" lastClr="000000">
                  <a:hueOff val="0"/>
                  <a:satOff val="0"/>
                  <a:lumOff val="0"/>
                  <a:alphaOff val="0"/>
                </a:sysClr>
              </a:solidFill>
              <a:latin typeface="Calibri" panose="020F0502020204030204"/>
              <a:ea typeface="+mn-ea"/>
              <a:cs typeface="+mn-cs"/>
            </a:rPr>
            <a:t>1.548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Comuna Ceplenița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3DAC334B-2B95-406B-A607-61643358AE2D}" type="sibTrans" cxnId="{AA3A75F1-490D-46BB-AFBD-301BEDDA2078}">
      <dgm:prSet/>
      <dgm:spPr/>
      <dgm:t>
        <a:bodyPr/>
        <a:lstStyle/>
        <a:p>
          <a:endParaRPr lang="ro-RO" sz="1100" b="1">
            <a:solidFill>
              <a:schemeClr val="tx1"/>
            </a:solidFill>
          </a:endParaRPr>
        </a:p>
      </dgm:t>
    </dgm:pt>
    <dgm:pt modelId="{6CA35E37-18EB-46BC-8CD7-6B6225E1B987}" type="par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endParaRPr lang="ro-RO" sz="1000" b="1">
            <a:solidFill>
              <a:sysClr val="windowText" lastClr="000000">
                <a:hueOff val="0"/>
                <a:satOff val="0"/>
                <a:lumOff val="0"/>
                <a:alphaOff val="0"/>
              </a:sysClr>
            </a:solidFill>
            <a:latin typeface="Calibri" panose="020F0502020204030204"/>
            <a:ea typeface="+mn-ea"/>
            <a:cs typeface="+mn-cs"/>
          </a:endParaRPr>
        </a:p>
        <a:p>
          <a:pP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defTabSz="536575"/>
          <a:r>
            <a:rPr lang="ro-RO" sz="1000" b="1">
              <a:solidFill>
                <a:sysClr val="windowText" lastClr="000000">
                  <a:hueOff val="0"/>
                  <a:satOff val="0"/>
                  <a:lumOff val="0"/>
                  <a:alphaOff val="0"/>
                </a:sysClr>
              </a:solidFill>
              <a:latin typeface="Calibri" panose="020F0502020204030204"/>
              <a:ea typeface="+mn-ea"/>
              <a:cs typeface="+mn-cs"/>
            </a:rPr>
            <a:t>Laiu Dumitru</a:t>
          </a:r>
        </a:p>
        <a:p>
          <a:pPr defTabSz="536575"/>
          <a:r>
            <a:rPr lang="ro-RO" sz="1000" b="1">
              <a:solidFill>
                <a:sysClr val="windowText" lastClr="000000">
                  <a:hueOff val="0"/>
                  <a:satOff val="0"/>
                  <a:lumOff val="0"/>
                  <a:alphaOff val="0"/>
                </a:sysClr>
              </a:solidFill>
              <a:latin typeface="Calibri" panose="020F0502020204030204"/>
              <a:ea typeface="+mn-ea"/>
              <a:cs typeface="+mn-cs"/>
            </a:rPr>
            <a:t>primariaceplenita@yahoo.com</a:t>
          </a:r>
        </a:p>
        <a:p>
          <a:pPr defTabSz="536575"/>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89ED088-4A09-48FE-8005-43A194065BD6}" type="sibTrans" cxnId="{0E22C7CE-D2BF-4EEA-8590-D2E8C0735854}">
      <dgm:prSet/>
      <dgm:spPr/>
      <dgm:t>
        <a:bodyPr/>
        <a:lstStyle/>
        <a:p>
          <a:endParaRPr lang="ro-RO" sz="1100" b="1">
            <a:solidFill>
              <a:schemeClr val="tx1"/>
            </a:solidFill>
          </a:endParaRPr>
        </a:p>
      </dgm:t>
    </dgm:pt>
    <dgm:pt modelId="{8C22574E-E3E2-4DF9-8E2E-96506DD711A1}" type="parTrans" cxnId="{0E22C7CE-D2BF-4EEA-8590-D2E8C0735854}">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Investiția constă în achiziția de echipamente, respectiv: perie cu cupă colectoare cu rezervor de 100 litri și sistem de stropire, cupă de taluzare și lanțuri antiderapante, fiind necesare pentru activitățile desfășurate de Serviciul Public de Gospodărire Comunală, ele fiind compatibile cu buldoexcavatorul existent în dotarea serviciului.</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Dotarea Serviciului de Gospodărire Comunală cu echipamente compatibile cu buldoexcavatorul existent în cadrul comunei.</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Achiziție accesorii pentru buldoexcavatorul existent în dotarea serviciului;</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Alocare financiară mai mare;</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ACHIZIȚIE ACCESORII PENTRU BULDOEXCAVATOR MST 644, COMUNA CEPLENIȚA, JUDEȚUL IAȘI</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61C298E7-06C0-4C50-8784-9C904771519D}">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Scăderea cheltuielilor cu serviciile de închirieri utilaje;</a:t>
          </a:r>
        </a:p>
      </dgm:t>
    </dgm:pt>
    <dgm:pt modelId="{E8909B22-117A-45F7-BDB3-EA3B36D727C2}" type="parTrans" cxnId="{D2B94B9C-E9A5-4810-9BF9-A133A3D42F52}">
      <dgm:prSet/>
      <dgm:spPr/>
      <dgm:t>
        <a:bodyPr/>
        <a:lstStyle/>
        <a:p>
          <a:endParaRPr lang="en-GB"/>
        </a:p>
      </dgm:t>
    </dgm:pt>
    <dgm:pt modelId="{92432678-905D-40B9-883D-5B2DFDBAC5C2}" type="sibTrans" cxnId="{D2B94B9C-E9A5-4810-9BF9-A133A3D42F52}">
      <dgm:prSet/>
      <dgm:spPr/>
      <dgm:t>
        <a:bodyPr/>
        <a:lstStyle/>
        <a:p>
          <a:endParaRPr lang="en-GB"/>
        </a:p>
      </dgm:t>
    </dgm:pt>
    <dgm:pt modelId="{15FE8305-30A7-4D78-AF6C-17D936B1F56B}">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Calitatea ridicată a serviciilor publice de gospodărire;</a:t>
          </a:r>
        </a:p>
      </dgm:t>
    </dgm:pt>
    <dgm:pt modelId="{98F0CF0C-C587-48F2-AF72-275B353A07C8}" type="parTrans" cxnId="{64E1BCEB-A9E6-4765-AABC-1365E4455C2B}">
      <dgm:prSet/>
      <dgm:spPr/>
      <dgm:t>
        <a:bodyPr/>
        <a:lstStyle/>
        <a:p>
          <a:endParaRPr lang="en-GB"/>
        </a:p>
      </dgm:t>
    </dgm:pt>
    <dgm:pt modelId="{D84E0972-990D-463D-AC66-2A74DD1D825B}" type="sibTrans" cxnId="{64E1BCEB-A9E6-4765-AABC-1365E4455C2B}">
      <dgm:prSet/>
      <dgm:spPr/>
      <dgm:t>
        <a:bodyPr/>
        <a:lstStyle/>
        <a:p>
          <a:endParaRPr lang="en-GB"/>
        </a:p>
      </dgm:t>
    </dgm:pt>
    <dgm:pt modelId="{CF086E87-6ED2-446A-BDA8-9B9FB4273C3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Numărul/ ponderea afacerilor ridicată;</a:t>
          </a:r>
        </a:p>
      </dgm:t>
    </dgm:pt>
    <dgm:pt modelId="{B0517113-2DFF-4DF9-BC2B-8BB159292F71}" type="parTrans" cxnId="{8D4A1B86-9A67-4FAC-951C-294ED38D758B}">
      <dgm:prSet/>
      <dgm:spPr/>
      <dgm:t>
        <a:bodyPr/>
        <a:lstStyle/>
        <a:p>
          <a:endParaRPr lang="en-GB"/>
        </a:p>
      </dgm:t>
    </dgm:pt>
    <dgm:pt modelId="{3AA68559-3798-4040-B8FD-78BAAEE47A97}" type="sibTrans" cxnId="{8D4A1B86-9A67-4FAC-951C-294ED38D758B}">
      <dgm:prSet/>
      <dgm:spPr/>
      <dgm:t>
        <a:bodyPr/>
        <a:lstStyle/>
        <a:p>
          <a:endParaRPr lang="en-GB"/>
        </a:p>
      </dgm:t>
    </dgm:pt>
    <dgm:pt modelId="{2702557E-13B4-4667-BB78-0D694440D21D}">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Gradul ridicat de satisfacție al beneficiarilor (comunitatea locală , investitori interni/externi)</a:t>
          </a:r>
        </a:p>
      </dgm:t>
    </dgm:pt>
    <dgm:pt modelId="{5615F3B6-B94A-472B-B867-2180FB564487}" type="parTrans" cxnId="{1424D861-4737-4AAB-9DCB-A79A1D4551D4}">
      <dgm:prSet/>
      <dgm:spPr/>
      <dgm:t>
        <a:bodyPr/>
        <a:lstStyle/>
        <a:p>
          <a:endParaRPr lang="en-GB"/>
        </a:p>
      </dgm:t>
    </dgm:pt>
    <dgm:pt modelId="{C3C992F6-FD00-4144-A511-E8161BBF82DA}" type="sibTrans" cxnId="{1424D861-4737-4AAB-9DCB-A79A1D4551D4}">
      <dgm:prSet/>
      <dgm:spPr/>
      <dgm:t>
        <a:bodyPr/>
        <a:lstStyle/>
        <a:p>
          <a:endParaRPr lang="en-GB"/>
        </a:p>
      </dgm:t>
    </dgm:pt>
    <dgm:pt modelId="{18B112F3-6594-44FA-BEAC-42C2D17EA2BE}">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Simplificarea procedurilor administrative;</a:t>
          </a:r>
        </a:p>
      </dgm:t>
    </dgm:pt>
    <dgm:pt modelId="{B98878D7-6EF3-4072-AB20-DC4210783032}" type="parTrans" cxnId="{E001D3ED-EAF0-4E18-A8EB-4A333DB46AE5}">
      <dgm:prSet/>
      <dgm:spPr/>
      <dgm:t>
        <a:bodyPr/>
        <a:lstStyle/>
        <a:p>
          <a:endParaRPr lang="en-GB"/>
        </a:p>
      </dgm:t>
    </dgm:pt>
    <dgm:pt modelId="{9CB62538-3809-4591-A853-D527F10B9D54}" type="sibTrans" cxnId="{E001D3ED-EAF0-4E18-A8EB-4A333DB46AE5}">
      <dgm:prSet/>
      <dgm:spPr/>
      <dgm:t>
        <a:bodyPr/>
        <a:lstStyle/>
        <a:p>
          <a:endParaRPr lang="en-GB"/>
        </a:p>
      </dgm:t>
    </dgm:pt>
    <dgm:pt modelId="{35E1AD84-9694-4E8A-9324-EBBFF21494A9}">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Accesarea fondurilor prin GAL SIRET-MOLDOVA a fost foarte facilă.</a:t>
          </a:r>
        </a:p>
      </dgm:t>
    </dgm:pt>
    <dgm:pt modelId="{C03B1F76-5A49-4935-AE55-DFD5E0F13970}" type="parTrans" cxnId="{1AD25F6A-5883-4559-922C-5A57E28BD8FA}">
      <dgm:prSet/>
      <dgm:spPr/>
      <dgm:t>
        <a:bodyPr/>
        <a:lstStyle/>
        <a:p>
          <a:endParaRPr lang="en-GB"/>
        </a:p>
      </dgm:t>
    </dgm:pt>
    <dgm:pt modelId="{211DECF4-E82F-4D7B-A175-7268E1F24BA1}" type="sibTrans" cxnId="{1AD25F6A-5883-4559-922C-5A57E28BD8FA}">
      <dgm:prSet/>
      <dgm:spPr/>
      <dgm:t>
        <a:bodyPr/>
        <a:lstStyle/>
        <a:p>
          <a:endParaRPr lang="en-GB"/>
        </a:p>
      </dgm:t>
    </dgm:pt>
    <dgm:pt modelId="{7B21F9A3-CD4E-4E2E-B645-3463BA0E61DC}">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S-a avut în vedere importanța asigurării unui sistem viabil de întreținere a drumurilor comunale și desfășurarea în condiții normale a tuturor activităților socio-economice din comună.</a:t>
          </a:r>
        </a:p>
      </dgm:t>
    </dgm:pt>
    <dgm:pt modelId="{E67AE394-683F-43AF-8C80-0C6C271562A2}" type="sibTrans" cxnId="{5940EEAE-C0B9-49C9-B747-046ED38E77B6}">
      <dgm:prSet/>
      <dgm:spPr/>
      <dgm:t>
        <a:bodyPr/>
        <a:lstStyle/>
        <a:p>
          <a:endParaRPr lang="en-GB"/>
        </a:p>
      </dgm:t>
    </dgm:pt>
    <dgm:pt modelId="{8A2BBBDF-09EF-4811-84B4-7DBD6FEC68C5}" type="parTrans" cxnId="{5940EEAE-C0B9-49C9-B747-046ED38E77B6}">
      <dgm:prSet/>
      <dgm:spPr/>
      <dgm:t>
        <a:bodyPr/>
        <a:lstStyle/>
        <a:p>
          <a:endParaRPr lang="en-GB"/>
        </a:p>
      </dgm:t>
    </dgm:pt>
    <dgm:pt modelId="{C712A233-56BA-4141-B087-4E9890D82D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Creșterea calității serviciilor oferite comunității locale prin îmbunătățirea capacității de realizare a activităților: întreținerea drumurilor comunale și sătești, menținerea în stare de funcționare a altor căi de circulație, a sistemului de canalizare, a locurilor de joacă pentru copii, a spațiilor verzi, a curților instituțiilor publice, deszăpezirea drumurilor și combaterea poleiului pe timp de iarnă, intervenții în cazul unor situații de urgență.</a:t>
          </a:r>
        </a:p>
      </dgm:t>
    </dgm:pt>
    <dgm:pt modelId="{CB7A90B3-8464-4AAA-97BC-5739F47F0C81}" type="parTrans" cxnId="{B2ADF204-450C-40B7-9081-EFEA7A85CAD7}">
      <dgm:prSet/>
      <dgm:spPr/>
      <dgm:t>
        <a:bodyPr/>
        <a:lstStyle/>
        <a:p>
          <a:endParaRPr lang="en-GB"/>
        </a:p>
      </dgm:t>
    </dgm:pt>
    <dgm:pt modelId="{F57FF409-20A7-4635-A288-087D1E3CD68A}" type="sibTrans" cxnId="{B2ADF204-450C-40B7-9081-EFEA7A85CAD7}">
      <dgm:prSet/>
      <dgm:spPr/>
      <dgm:t>
        <a:bodyPr/>
        <a:lstStyle/>
        <a:p>
          <a:endParaRPr lang="en-GB"/>
        </a:p>
      </dgm:t>
    </dgm:pt>
    <dgm:pt modelId="{D17033B5-0325-4420-90F8-27BC477B7885}">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a:t> </a:t>
          </a:r>
          <a:r>
            <a:rPr lang="ro-RO" sz="1000" b="1"/>
            <a:t>Acces sporit la serviciile publice locale;</a:t>
          </a:r>
          <a:endParaRPr lang="ro-RO" sz="1000" b="1">
            <a:solidFill>
              <a:sysClr val="windowText" lastClr="000000"/>
            </a:solidFill>
            <a:latin typeface="Calibri" panose="020F0502020204030204"/>
            <a:ea typeface="+mn-ea"/>
            <a:cs typeface="+mn-cs"/>
          </a:endParaRPr>
        </a:p>
      </dgm:t>
    </dgm:pt>
    <dgm:pt modelId="{CC1EB480-CD2D-4F8E-9BA9-6A3C76A0BFAF}" type="sibTrans" cxnId="{4DC7DB85-37AF-4A5C-B781-06A1875FC8FD}">
      <dgm:prSet/>
      <dgm:spPr/>
      <dgm:t>
        <a:bodyPr/>
        <a:lstStyle/>
        <a:p>
          <a:endParaRPr lang="en-GB"/>
        </a:p>
      </dgm:t>
    </dgm:pt>
    <dgm:pt modelId="{D5C8E861-641E-4458-8C43-B3CF3DBD3D4B}" type="parTrans" cxnId="{4DC7DB85-37AF-4A5C-B781-06A1875FC8FD}">
      <dgm:prSet/>
      <dgm:spPr/>
      <dgm:t>
        <a:bodyPr/>
        <a:lstStyle/>
        <a:p>
          <a:endParaRPr lang="en-GB"/>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460" custLinFactNeighborX="-13" custLinFactNeighborY="6317">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35848" custScaleY="60749" custLinFactNeighborX="38" custLinFactNeighborY="4816">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202632" custLinFactNeighborX="-15" custLinFactNeighborY="2086">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53978" custScaleY="242698" custLinFactNeighborX="58" custLinFactNeighborY="4218">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custScaleY="219399" custLinFactNeighborX="-24" custLinFactNeighborY="-1208">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47414" custScaleY="266411" custLinFactNeighborX="44" custLinFactNeighborY="-2454">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73311" custScaleY="198300" custLinFactNeighborX="-16" custLinFactNeighborY="-4705">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229957" custLinFactNeighborX="202" custLinFactNeighborY="-7890">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55942" custScaleY="83086" custLinFactNeighborX="-12" custLinFactNeighborY="-5742">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92952" custLinFactNeighborX="2397" custLinFactNeighborY="-10028">
        <dgm:presLayoutVars>
          <dgm:bulletEnabled val="1"/>
        </dgm:presLayoutVars>
      </dgm:prSet>
      <dgm:spPr>
        <a:prstGeom prst="round2SameRect">
          <a:avLst/>
        </a:prstGeom>
      </dgm:spPr>
    </dgm:pt>
  </dgm:ptLst>
  <dgm:cxnLst>
    <dgm:cxn modelId="{B2ADF204-450C-40B7-9081-EFEA7A85CAD7}" srcId="{384D8344-1B09-457C-8C5C-C9E67DE7BEAA}" destId="{C712A233-56BA-4141-B087-4E9890D82D2B}" srcOrd="1" destOrd="0" parTransId="{CB7A90B3-8464-4AAA-97BC-5739F47F0C81}" sibTransId="{F57FF409-20A7-4635-A288-087D1E3CD68A}"/>
    <dgm:cxn modelId="{099BA809-73E0-4605-9CA8-221641EB407C}" type="presOf" srcId="{15FE8305-30A7-4D78-AF6C-17D936B1F56B}" destId="{28FB0171-7E9F-4A24-A49B-3968FB810212}" srcOrd="0" destOrd="3" presId="urn:microsoft.com/office/officeart/2005/8/layout/vList5"/>
    <dgm:cxn modelId="{870BDF09-A0B8-4AE0-997C-F5C9C923760C}" type="presOf" srcId="{D17033B5-0325-4420-90F8-27BC477B7885}" destId="{28FB0171-7E9F-4A24-A49B-3968FB810212}" srcOrd="0" destOrd="1" presId="urn:microsoft.com/office/officeart/2005/8/layout/vList5"/>
    <dgm:cxn modelId="{2701F510-746A-4851-94A6-A1B1B8F45F6E}" type="presOf" srcId="{C712A233-56BA-4141-B087-4E9890D82D2B}" destId="{23447CCD-1B81-4231-9550-72B81D2CD4B5}" srcOrd="0" destOrd="1"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34D94B17-23DB-46B8-BF61-6BF06E8A0805}" type="presOf" srcId="{2702557E-13B4-4667-BB78-0D694440D21D}" destId="{28FB0171-7E9F-4A24-A49B-3968FB810212}" srcOrd="0" destOrd="5" presId="urn:microsoft.com/office/officeart/2005/8/layout/vList5"/>
    <dgm:cxn modelId="{05C3A219-EE01-4F94-BC04-1B2D4CB4074A}" type="presOf" srcId="{353E89F5-90FD-43B1-923C-F7A614CF3C22}" destId="{A3D7207D-56C5-4FFB-88D0-51628AD11EE3}"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B396A631-ED1D-4063-A86A-719CC876A9A3}" type="presOf" srcId="{35E1AD84-9694-4E8A-9324-EBBFF21494A9}" destId="{6F97E8EC-0945-4C57-9BB0-ED664CA17D3D}" srcOrd="0" destOrd="2" presId="urn:microsoft.com/office/officeart/2005/8/layout/vList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1424D861-4737-4AAB-9DCB-A79A1D4551D4}" srcId="{353E89F5-90FD-43B1-923C-F7A614CF3C22}" destId="{2702557E-13B4-4667-BB78-0D694440D21D}" srcOrd="5" destOrd="0" parTransId="{5615F3B6-B94A-472B-B867-2180FB564487}" sibTransId="{C3C992F6-FD00-4144-A511-E8161BBF82DA}"/>
    <dgm:cxn modelId="{6F81D264-C5CC-47A6-A37F-B6C82D1017EF}" type="presOf" srcId="{59D22FCD-EAF8-48AC-A845-24F88318AD29}" destId="{6EC5E805-08FA-4895-8CA4-08082562C7BD}" srcOrd="0" destOrd="0" presId="urn:microsoft.com/office/officeart/2005/8/layout/vList5"/>
    <dgm:cxn modelId="{0442FA44-C845-42A3-9175-357818461675}" type="presOf" srcId="{CF086E87-6ED2-446A-BDA8-9B9FB4273C33}" destId="{28FB0171-7E9F-4A24-A49B-3968FB810212}" srcOrd="0" destOrd="4" presId="urn:microsoft.com/office/officeart/2005/8/layout/vList5"/>
    <dgm:cxn modelId="{60605D66-4D56-4FB8-8DA3-5BE1B18BB4C7}" type="presOf" srcId="{384D8344-1B09-457C-8C5C-C9E67DE7BEAA}" destId="{63568D48-0DAA-436B-A039-D707DEB774A9}" srcOrd="0" destOrd="0" presId="urn:microsoft.com/office/officeart/2005/8/layout/vList5"/>
    <dgm:cxn modelId="{8248E046-4988-4FC4-B049-FF8DAAD71063}" type="presOf" srcId="{7B21F9A3-CD4E-4E2E-B645-3463BA0E61DC}" destId="{67D01082-9332-47DF-8279-5861B99B6E4E}" srcOrd="0" destOrd="1"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1AD25F6A-5883-4559-922C-5A57E28BD8FA}" srcId="{9740E7FE-3F67-4F38-8B44-B711567217BD}" destId="{35E1AD84-9694-4E8A-9324-EBBFF21494A9}" srcOrd="2" destOrd="0" parTransId="{C03B1F76-5A49-4935-AE55-DFD5E0F13970}" sibTransId="{211DECF4-E82F-4D7B-A175-7268E1F24BA1}"/>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5D495C85-6648-4142-9303-FD27C154FD5C}" type="presOf" srcId="{CD68AB43-5D9C-4936-A149-D3DC884804E3}" destId="{28FB0171-7E9F-4A24-A49B-3968FB810212}" srcOrd="0" destOrd="0" presId="urn:microsoft.com/office/officeart/2005/8/layout/vList5"/>
    <dgm:cxn modelId="{4DC7DB85-37AF-4A5C-B781-06A1875FC8FD}" srcId="{353E89F5-90FD-43B1-923C-F7A614CF3C22}" destId="{D17033B5-0325-4420-90F8-27BC477B7885}" srcOrd="1" destOrd="0" parTransId="{D5C8E861-641E-4458-8C43-B3CF3DBD3D4B}" sibTransId="{CC1EB480-CD2D-4F8E-9BA9-6A3C76A0BFAF}"/>
    <dgm:cxn modelId="{8D4A1B86-9A67-4FAC-951C-294ED38D758B}" srcId="{353E89F5-90FD-43B1-923C-F7A614CF3C22}" destId="{CF086E87-6ED2-446A-BDA8-9B9FB4273C33}" srcOrd="4" destOrd="0" parTransId="{B0517113-2DFF-4DF9-BC2B-8BB159292F71}" sibTransId="{3AA68559-3798-4040-B8FD-78BAAEE47A97}"/>
    <dgm:cxn modelId="{A59BAB87-156D-482F-B281-6EE47F27CD18}" type="presOf" srcId="{1895B3BD-8679-4CBF-A242-CE933B3D94C3}" destId="{67D01082-9332-47DF-8279-5861B99B6E4E}"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74C9B096-ECD9-4C1F-AE3A-2F0CD84AEE76}" type="presOf" srcId="{61C298E7-06C0-4C50-8784-9C904771519D}" destId="{28FB0171-7E9F-4A24-A49B-3968FB810212}" srcOrd="0" destOrd="2"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D2B94B9C-E9A5-4810-9BF9-A133A3D42F52}" srcId="{353E89F5-90FD-43B1-923C-F7A614CF3C22}" destId="{61C298E7-06C0-4C50-8784-9C904771519D}" srcOrd="2" destOrd="0" parTransId="{E8909B22-117A-45F7-BDB3-EA3B36D727C2}" sibTransId="{92432678-905D-40B9-883D-5B2DFDBAC5C2}"/>
    <dgm:cxn modelId="{4C9215AE-6580-4AD3-999C-CDE172EC7E77}" srcId="{FDADB1E8-E118-4093-AA16-8A7F001F8678}" destId="{9740E7FE-3F67-4F38-8B44-B711567217BD}" srcOrd="4" destOrd="0" parTransId="{BB282E53-ECE6-43B8-BEB0-15D29F6D25E3}" sibTransId="{400FAA67-7777-42DA-BDE5-8B0EB551D07C}"/>
    <dgm:cxn modelId="{5940EEAE-C0B9-49C9-B747-046ED38E77B6}" srcId="{3EAACDE0-BF98-43B8-86BB-296113FD9FCE}" destId="{7B21F9A3-CD4E-4E2E-B645-3463BA0E61DC}" srcOrd="1" destOrd="0" parTransId="{8A2BBBDF-09EF-4811-84B4-7DBD6FEC68C5}" sibTransId="{E67AE394-683F-43AF-8C80-0C6C271562A2}"/>
    <dgm:cxn modelId="{149FEFBC-E783-48E2-B287-241DA87F2061}" type="presOf" srcId="{18B112F3-6594-44FA-BEAC-42C2D17EA2BE}" destId="{6F97E8EC-0945-4C57-9BB0-ED664CA17D3D}" srcOrd="0" destOrd="1"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46EE74DC-E5DE-4594-A143-7361BF2538D1}" type="presOf" srcId="{3EAACDE0-BF98-43B8-86BB-296113FD9FCE}" destId="{676F0F9C-38DE-429C-852F-FD5801F46D45}" srcOrd="0" destOrd="0" presId="urn:microsoft.com/office/officeart/2005/8/layout/vList5"/>
    <dgm:cxn modelId="{64E1BCEB-A9E6-4765-AABC-1365E4455C2B}" srcId="{353E89F5-90FD-43B1-923C-F7A614CF3C22}" destId="{15FE8305-30A7-4D78-AF6C-17D936B1F56B}" srcOrd="3" destOrd="0" parTransId="{98F0CF0C-C587-48F2-AF72-275B353A07C8}" sibTransId="{D84E0972-990D-463D-AC66-2A74DD1D825B}"/>
    <dgm:cxn modelId="{E001D3ED-EAF0-4E18-A8EB-4A333DB46AE5}" srcId="{9740E7FE-3F67-4F38-8B44-B711567217BD}" destId="{18B112F3-6594-44FA-BEAC-42C2D17EA2BE}" srcOrd="1" destOrd="0" parTransId="{B98878D7-6EF3-4072-AB20-DC4210783032}" sibTransId="{9CB62538-3809-4591-A853-D527F10B9D54}"/>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Comuna Ceplenița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6B-încurajarea dezvoltării locale în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8.148 euro</a:t>
          </a: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1.548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31.10.2019 - 14.10.2020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Comuna Ceplenița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endParaRPr lang="ro-RO"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Laiu Dumitru</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primariaceplenita@yahoo.com</a:t>
          </a:r>
        </a:p>
        <a:p>
          <a:pPr marL="0" lvl="0" indent="0" algn="ctr" defTabSz="536575">
            <a:lnSpc>
              <a:spcPct val="90000"/>
            </a:lnSpc>
            <a:spcBef>
              <a:spcPct val="0"/>
            </a:spcBef>
            <a:spcAft>
              <a:spcPct val="35000"/>
            </a:spcAft>
            <a:buNone/>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242368" y="-1337121"/>
          <a:ext cx="447285" cy="324042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ACCESORII PENTRU BULDOEXCAVATOR MST 644, COMUNA CEPLENIȚA, JUDEȚUL IAȘI</a:t>
          </a:r>
        </a:p>
      </dsp:txBody>
      <dsp:txXfrm rot="-5400000">
        <a:off x="845797" y="81285"/>
        <a:ext cx="3218593" cy="403615"/>
      </dsp:txXfrm>
    </dsp:sp>
    <dsp:sp modelId="{6EC5E805-08FA-4895-8CA4-08082562C7BD}">
      <dsp:nvSpPr>
        <dsp:cNvPr id="0" name=""/>
        <dsp:cNvSpPr/>
      </dsp:nvSpPr>
      <dsp:spPr>
        <a:xfrm>
          <a:off x="10" y="59761"/>
          <a:ext cx="844967" cy="492022"/>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24029" y="83780"/>
        <a:ext cx="796929" cy="443984"/>
      </dsp:txXfrm>
    </dsp:sp>
    <dsp:sp modelId="{67D01082-9332-47DF-8279-5861B99B6E4E}">
      <dsp:nvSpPr>
        <dsp:cNvPr id="0" name=""/>
        <dsp:cNvSpPr/>
      </dsp:nvSpPr>
      <dsp:spPr>
        <a:xfrm rot="5400000">
          <a:off x="1568656" y="-120907"/>
          <a:ext cx="1786947" cy="3248186"/>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Investiția constă în achiziția de echipamente, respectiv: perie cu cupă colectoare cu rezervor de 100 litri și sistem de stropire, cupă de taluzare și lanțuri antiderapante, fiind necesare pentru activitățile desfășurate de Serviciul Public de Gospodărire Comunală, ele fiind compatibile cu buldoexcavatorul existent în dotarea serviciului.</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S-a avut în vedere importanța asigurării unui sistem viabil de întreținere a drumurilor comunale și desfășurarea în condiții normale a tuturor activităților socio-economice din comună.</a:t>
          </a:r>
        </a:p>
      </dsp:txBody>
      <dsp:txXfrm rot="-5400000">
        <a:off x="838037" y="609712"/>
        <a:ext cx="3248186" cy="1786947"/>
      </dsp:txXfrm>
    </dsp:sp>
    <dsp:sp modelId="{676F0F9C-38DE-429C-852F-FD5801F46D45}">
      <dsp:nvSpPr>
        <dsp:cNvPr id="0" name=""/>
        <dsp:cNvSpPr/>
      </dsp:nvSpPr>
      <dsp:spPr>
        <a:xfrm>
          <a:off x="3" y="558861"/>
          <a:ext cx="837028" cy="1864934"/>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0863" y="599721"/>
        <a:ext cx="755308" cy="1783214"/>
      </dsp:txXfrm>
    </dsp:sp>
    <dsp:sp modelId="{23447CCD-1B81-4231-9550-72B81D2CD4B5}">
      <dsp:nvSpPr>
        <dsp:cNvPr id="0" name=""/>
        <dsp:cNvSpPr/>
      </dsp:nvSpPr>
      <dsp:spPr>
        <a:xfrm rot="5400000">
          <a:off x="1481552" y="1818270"/>
          <a:ext cx="1961542" cy="3247803"/>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Dotarea Serviciului de Gospodărire Comunală cu echipamente compatibile cu buldoexcavatorul existent în cadrul comunei.</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Creșterea calității serviciilor oferite comunității locale prin îmbunătățirea capacității de realizare a activităților: întreținerea drumurilor comunale și sătești, menținerea în stare de funcționare a altor căi de circulație, a sistemului de canalizare, a locurilor de joacă pentru copii, a spațiilor verzi, a curților instituțiilor publice, deszăpezirea drumurilor și combaterea poleiului pe timp de iarnă, intervenții în cazul unor situații de urgență.</a:t>
          </a:r>
        </a:p>
      </dsp:txBody>
      <dsp:txXfrm rot="-5400000">
        <a:off x="838422" y="2557156"/>
        <a:ext cx="3152048" cy="1770032"/>
      </dsp:txXfrm>
    </dsp:sp>
    <dsp:sp modelId="{63568D48-0DAA-436B-A039-D707DEB774A9}">
      <dsp:nvSpPr>
        <dsp:cNvPr id="0" name=""/>
        <dsp:cNvSpPr/>
      </dsp:nvSpPr>
      <dsp:spPr>
        <a:xfrm>
          <a:off x="5" y="2439496"/>
          <a:ext cx="837781" cy="2019250"/>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40902" y="2480393"/>
        <a:ext cx="755987" cy="1937456"/>
      </dsp:txXfrm>
    </dsp:sp>
    <dsp:sp modelId="{28FB0171-7E9F-4A24-A49B-3968FB810212}">
      <dsp:nvSpPr>
        <dsp:cNvPr id="0" name=""/>
        <dsp:cNvSpPr/>
      </dsp:nvSpPr>
      <dsp:spPr>
        <a:xfrm rot="5400000">
          <a:off x="1614372" y="3745039"/>
          <a:ext cx="1693137" cy="3250566"/>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accesorii pentru buldoexcavatorul existent în dotarea serviciului;</a:t>
          </a:r>
        </a:p>
        <a:p>
          <a:pPr marL="57150" lvl="1" indent="-57150" algn="just" defTabSz="444500">
            <a:lnSpc>
              <a:spcPct val="90000"/>
            </a:lnSpc>
            <a:spcBef>
              <a:spcPct val="0"/>
            </a:spcBef>
            <a:spcAft>
              <a:spcPct val="15000"/>
            </a:spcAft>
            <a:buChar char="•"/>
          </a:pPr>
          <a:r>
            <a:rPr lang="ro-RO" sz="1000" kern="1200"/>
            <a:t> </a:t>
          </a:r>
          <a:r>
            <a:rPr lang="ro-RO" sz="1000" b="1" kern="1200"/>
            <a:t>Acces sporit la serviciile publice locale;</a:t>
          </a: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Scăderea cheltuielilor cu serviciile de închirieri utilaje;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Calitatea ridicată a serviciilor publice de gospodărire;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Numărul/ ponderea afacerilor ridicată;</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Gradul ridicat de satisfacție al beneficiarilor (comunitatea locală , investitori interni/externi)</a:t>
          </a:r>
        </a:p>
      </dsp:txBody>
      <dsp:txXfrm rot="-5400000">
        <a:off x="835658" y="4606405"/>
        <a:ext cx="3167914" cy="1527833"/>
      </dsp:txXfrm>
    </dsp:sp>
    <dsp:sp modelId="{A3D7207D-56C5-4FFB-88D0-51628AD11EE3}">
      <dsp:nvSpPr>
        <dsp:cNvPr id="0" name=""/>
        <dsp:cNvSpPr/>
      </dsp:nvSpPr>
      <dsp:spPr>
        <a:xfrm>
          <a:off x="0" y="4472580"/>
          <a:ext cx="833048" cy="1825064"/>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0666" y="4513246"/>
        <a:ext cx="751716" cy="1743732"/>
      </dsp:txXfrm>
    </dsp:sp>
    <dsp:sp modelId="{6F97E8EC-0945-4C57-9BB0-ED664CA17D3D}">
      <dsp:nvSpPr>
        <dsp:cNvPr id="0" name=""/>
        <dsp:cNvSpPr/>
      </dsp:nvSpPr>
      <dsp:spPr>
        <a:xfrm rot="5400000">
          <a:off x="2130171" y="5081618"/>
          <a:ext cx="684391" cy="3227712"/>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Alocare financiară mai mare;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Simplificarea procedurilor administrative;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Accesarea fondurilor prin GAL SIRET-MOLDOVA a fost foarte facilă.</a:t>
          </a:r>
        </a:p>
      </dsp:txBody>
      <dsp:txXfrm rot="-5400000">
        <a:off x="858511" y="6386688"/>
        <a:ext cx="3194303" cy="617573"/>
      </dsp:txXfrm>
    </dsp:sp>
    <dsp:sp modelId="{B39F83D9-F0B1-4873-A1B7-4B02D7C06550}">
      <dsp:nvSpPr>
        <dsp:cNvPr id="0" name=""/>
        <dsp:cNvSpPr/>
      </dsp:nvSpPr>
      <dsp:spPr>
        <a:xfrm>
          <a:off x="6" y="6334119"/>
          <a:ext cx="822929" cy="764686"/>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37335" y="6371448"/>
        <a:ext cx="748271" cy="6900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9</cp:revision>
  <cp:lastPrinted>2019-11-07T08:45:00Z</cp:lastPrinted>
  <dcterms:created xsi:type="dcterms:W3CDTF">2019-11-07T09:34:00Z</dcterms:created>
  <dcterms:modified xsi:type="dcterms:W3CDTF">2020-10-20T06:57:00Z</dcterms:modified>
</cp:coreProperties>
</file>